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4" w:rsidRDefault="00074734" w:rsidP="00A50C21">
      <w:pPr>
        <w:jc w:val="both"/>
        <w:rPr>
          <w:b/>
        </w:rPr>
      </w:pPr>
      <w:r w:rsidRPr="00074734">
        <w:rPr>
          <w:b/>
        </w:rPr>
        <w:t>Тезисы выступления на общем собрании СПП СПб 17.04.2014 президента Ассоциации судостроителей Санкт-Петербурга и Ленинградской области В.Л.Александрова</w:t>
      </w:r>
    </w:p>
    <w:p w:rsidR="00074734" w:rsidRPr="00074734" w:rsidRDefault="00074734" w:rsidP="00A50C21">
      <w:pPr>
        <w:jc w:val="both"/>
      </w:pPr>
    </w:p>
    <w:p w:rsidR="00074734" w:rsidRDefault="00074734" w:rsidP="00A50C21">
      <w:pPr>
        <w:jc w:val="both"/>
      </w:pPr>
      <w:r>
        <w:t xml:space="preserve">1. </w:t>
      </w:r>
      <w:r w:rsidRPr="00074734">
        <w:t>Итоги работы в 2013 году судостроительн</w:t>
      </w:r>
      <w:r>
        <w:t>ого комплекса, подведомственного Министерству промышленности и торговли Российской Федерации, показывают общий рост объемов производства на 6,4% по сравнению с 2012 годом. При этом объем производства промышленности вырос на 0,1% по отношению к предыдущему году, а научного сектора – на 22,4%.</w:t>
      </w:r>
    </w:p>
    <w:p w:rsidR="00074734" w:rsidRDefault="00074734" w:rsidP="00A50C21">
      <w:pPr>
        <w:jc w:val="both"/>
      </w:pPr>
      <w:r>
        <w:t>В целом такая динамика развития основного ядра отечественного судостроения соответствует принципу приоритетного создания в ближайшие годы передового научного и конструкторско-технологического задела для промышленного рывка в судостроительной индустрии, что следует их государственной программы Российской Федерации «Развитие судостроения на 2013-2030 годы».</w:t>
      </w:r>
    </w:p>
    <w:p w:rsidR="00074734" w:rsidRDefault="00074734" w:rsidP="00A50C21">
      <w:pPr>
        <w:jc w:val="both"/>
      </w:pPr>
      <w:r>
        <w:t>2. Вместе с тем, вызывает серьезное беспокойство падение в 2013 году на 9% объемов производства гражданской судостроительной продукции, в том числе для внутреннего рынка на 11,3%. Эти показатели свидетельствуют о сохранении негативной тенденции последних десятилетий по сжатию внутреннего рынка отечественного судостроения и его монополизации зарубежными конкурентами.</w:t>
      </w:r>
    </w:p>
    <w:p w:rsidR="00074734" w:rsidRDefault="00074734" w:rsidP="00A50C21">
      <w:pPr>
        <w:jc w:val="both"/>
      </w:pPr>
      <w:r>
        <w:t>Общепризнанной причиной такого положения является ценовая конкурентоспособность российской гражданской судостроительной продукции вследствие серьезных различий в государственных преференциях в зарубежном и отечественном судостроении.</w:t>
      </w:r>
    </w:p>
    <w:p w:rsidR="00074734" w:rsidRDefault="00074734" w:rsidP="00A50C21">
      <w:pPr>
        <w:jc w:val="both"/>
      </w:pPr>
      <w:r>
        <w:t>3. Российское законодательство предприняло попутку выровнять условия производства отечественной гражданской судостроительной продукции с зарубежными производителями в Федеральном законе от 07.11.2011 г. №305-ФЗ «О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судоходства». Более того, этот закон стал</w:t>
      </w:r>
      <w:r w:rsidR="00DC2020">
        <w:t xml:space="preserve"> основной мерой государственной поддержки российского судостроения, предусмотренной в подпрограмме 4 Государственной программы Российской Федерации «Развитие судостроения на 2013-2030 годы», </w:t>
      </w:r>
      <w:proofErr w:type="gramStart"/>
      <w:r w:rsidR="00DC2020">
        <w:t>которая</w:t>
      </w:r>
      <w:proofErr w:type="gramEnd"/>
      <w:r w:rsidR="00DC2020">
        <w:t xml:space="preserve"> при его применении может обеспечить снижение себестоимости и рост чистой прибыли на 18%, что, соответственно, становится дополнительным источников модернизации производства.</w:t>
      </w:r>
    </w:p>
    <w:p w:rsidR="00DC2020" w:rsidRDefault="00DC2020" w:rsidP="00A50C21">
      <w:pPr>
        <w:jc w:val="both"/>
      </w:pPr>
      <w:r>
        <w:t xml:space="preserve">Однако, за весь период действия в 2012-2014 </w:t>
      </w:r>
      <w:proofErr w:type="gramStart"/>
      <w:r>
        <w:t>годах</w:t>
      </w:r>
      <w:proofErr w:type="gramEnd"/>
      <w:r>
        <w:t xml:space="preserve"> названный Федеральный закон не нашел практического применения вследствие кардинального отличия от первоначального проекта.</w:t>
      </w:r>
    </w:p>
    <w:p w:rsidR="00DC2020" w:rsidRDefault="00DC2020" w:rsidP="00A50C21">
      <w:pPr>
        <w:jc w:val="both"/>
      </w:pPr>
      <w:r>
        <w:t>Проект, как сказано выше, был направлен на создание равных конкурентных условий для российских судостроителей и судовладельцев с зарубежными конкурентами. В части судостроения он предполагал стимулирование развития наших верфей, строящих гражданские и промысловые суда, возврат отечественных судовладельцев на российский рынок.</w:t>
      </w:r>
    </w:p>
    <w:p w:rsidR="00DC2020" w:rsidRDefault="00DC2020" w:rsidP="00A50C21">
      <w:pPr>
        <w:jc w:val="both"/>
      </w:pPr>
      <w:r>
        <w:lastRenderedPageBreak/>
        <w:t xml:space="preserve">Как это практикуется в </w:t>
      </w:r>
      <w:proofErr w:type="gramStart"/>
      <w:r>
        <w:t>странах</w:t>
      </w:r>
      <w:proofErr w:type="gramEnd"/>
      <w:r>
        <w:t xml:space="preserve"> с развитым судостроением, предполагалось снизить налоговые нагрузки на российские верфи, а именно:</w:t>
      </w:r>
    </w:p>
    <w:p w:rsidR="00DC2020" w:rsidRDefault="00DC2020" w:rsidP="00A50C21">
      <w:pPr>
        <w:jc w:val="both"/>
      </w:pPr>
      <w:r>
        <w:t>- отменить НДС при строительстве гражданских и промысловых судов для отечественных судовладельцев;</w:t>
      </w:r>
    </w:p>
    <w:p w:rsidR="00DC2020" w:rsidRDefault="00DC2020" w:rsidP="00A50C21">
      <w:pPr>
        <w:jc w:val="both"/>
      </w:pPr>
      <w:r>
        <w:t>- отменить пошлины на импортное комплектующее оборудование при отсутствии российских аналогов с теми же характеристиками и по требованию заказчика;</w:t>
      </w:r>
    </w:p>
    <w:p w:rsidR="00DC2020" w:rsidRDefault="00DC2020" w:rsidP="00A50C21">
      <w:pPr>
        <w:jc w:val="both"/>
      </w:pPr>
      <w:r>
        <w:t>- отменить пошлины на импортное технологическое оборудование для модернизации производства при отсутствии российских аналогов с требуемыми техническими характеристиками;</w:t>
      </w:r>
    </w:p>
    <w:p w:rsidR="00DC2020" w:rsidRDefault="00DC2020" w:rsidP="00A50C21">
      <w:pPr>
        <w:jc w:val="both"/>
      </w:pPr>
      <w:r>
        <w:t>- снизить налоги на землю и имущество;</w:t>
      </w:r>
    </w:p>
    <w:p w:rsidR="00DC2020" w:rsidRDefault="00DC2020" w:rsidP="00A50C21">
      <w:pPr>
        <w:jc w:val="both"/>
      </w:pPr>
      <w:r>
        <w:t>- снизить налог на прибыль.</w:t>
      </w:r>
    </w:p>
    <w:p w:rsidR="00DC2020" w:rsidRDefault="00D654DC" w:rsidP="00A50C21">
      <w:pPr>
        <w:jc w:val="both"/>
        <w:rPr>
          <w:u w:val="single"/>
        </w:rPr>
      </w:pPr>
      <w:r w:rsidRPr="00D654DC">
        <w:rPr>
          <w:u w:val="single"/>
        </w:rPr>
        <w:t>Предполагалось, что это будет закон прямого действия.</w:t>
      </w:r>
    </w:p>
    <w:p w:rsidR="00D654DC" w:rsidRDefault="00D654DC" w:rsidP="00A50C21">
      <w:pPr>
        <w:jc w:val="both"/>
      </w:pPr>
      <w:r>
        <w:t>Фактически же на стадии согласования законопроекта, в него было введено понятие «промышленно-производственные особые экономические зоны», что оказалось «миной замедленного действия». Закон утратил возможность прямого действия, а ожидаемые льготы стали доступны только заводам, являющимся резидентами этих зон. В реальности это практически невозможно, так как:</w:t>
      </w:r>
    </w:p>
    <w:p w:rsidR="00D654DC" w:rsidRDefault="00D654DC" w:rsidP="00A50C21">
      <w:pPr>
        <w:pStyle w:val="a3"/>
        <w:numPr>
          <w:ilvl w:val="0"/>
          <w:numId w:val="3"/>
        </w:numPr>
        <w:ind w:left="0" w:firstLine="0"/>
        <w:jc w:val="both"/>
      </w:pPr>
      <w:r>
        <w:t>Вопрос о предоставлении верфям данного статуса решают региональные власти. Если рост производства за счет использования указанных льгот – вопрос перспективный, то снижение поступлений в бюджет – ближний прогноз, не выгодный регионам.</w:t>
      </w:r>
    </w:p>
    <w:p w:rsidR="00D654DC" w:rsidRDefault="00D654DC" w:rsidP="00A50C21">
      <w:pPr>
        <w:pStyle w:val="a3"/>
        <w:numPr>
          <w:ilvl w:val="0"/>
          <w:numId w:val="3"/>
        </w:numPr>
        <w:ind w:left="0" w:firstLine="0"/>
        <w:jc w:val="both"/>
      </w:pPr>
      <w:r>
        <w:t xml:space="preserve">Вторым условием получения указанных льгот является регистрация построенного судна в Российском Международном </w:t>
      </w:r>
      <w:proofErr w:type="gramStart"/>
      <w:r>
        <w:t>Реестре</w:t>
      </w:r>
      <w:proofErr w:type="gramEnd"/>
      <w:r>
        <w:t xml:space="preserve"> судов. Наши верфи этим практически не пользуются, так как регистрация обременяется множеством согласований и доказательств по вопросам импортного комплектующего оборудования.</w:t>
      </w:r>
    </w:p>
    <w:p w:rsidR="00D654DC" w:rsidRDefault="00D654DC" w:rsidP="00A50C21">
      <w:pPr>
        <w:pStyle w:val="a3"/>
        <w:ind w:left="0"/>
        <w:jc w:val="both"/>
      </w:pPr>
      <w:r>
        <w:t xml:space="preserve">По нашему мнению, для того, чтобы этот </w:t>
      </w:r>
      <w:proofErr w:type="gramStart"/>
      <w:r>
        <w:t>крайне нужный</w:t>
      </w:r>
      <w:proofErr w:type="gramEnd"/>
      <w:r>
        <w:t xml:space="preserve"> закон заработал, необходимо внести в него изменения, позволяющие применять закон на практике.</w:t>
      </w:r>
    </w:p>
    <w:p w:rsidR="00D654DC" w:rsidRDefault="00D654DC" w:rsidP="00A50C21">
      <w:pPr>
        <w:pStyle w:val="a3"/>
        <w:ind w:left="0"/>
        <w:jc w:val="both"/>
        <w:rPr>
          <w:b/>
        </w:rPr>
      </w:pPr>
      <w:r>
        <w:t xml:space="preserve">Отсюда возникает важная проблема российского законодательства – </w:t>
      </w:r>
      <w:r w:rsidRPr="00D654DC">
        <w:rPr>
          <w:b/>
        </w:rPr>
        <w:t>проблема повышения реалистичности принимаемых законодательных актов.</w:t>
      </w:r>
    </w:p>
    <w:p w:rsidR="00D654DC" w:rsidRDefault="00D654DC" w:rsidP="00A50C21">
      <w:pPr>
        <w:pStyle w:val="a3"/>
        <w:jc w:val="both"/>
      </w:pPr>
    </w:p>
    <w:p w:rsidR="00D654DC" w:rsidRDefault="00D654DC" w:rsidP="00A50C21">
      <w:pPr>
        <w:pStyle w:val="a3"/>
        <w:ind w:left="0"/>
        <w:jc w:val="both"/>
      </w:pPr>
      <w:r>
        <w:t xml:space="preserve">4.  Судостроительное сообщество Санкт-Петербурга серьезно обеспокоено неэффективностью деятельности ОАО «Объединенная судостроительная корпорация». Раздутый бюрократический аппарат и чехарда с назначением руководителей этой структуры негативно отражается </w:t>
      </w:r>
      <w:r w:rsidR="00A50C21">
        <w:t>на работе предприятий, не только входящих в ее состав, но практически всей отрасли.</w:t>
      </w:r>
    </w:p>
    <w:p w:rsidR="00A50C21" w:rsidRDefault="00A50C21" w:rsidP="00A50C21">
      <w:pPr>
        <w:pStyle w:val="a3"/>
        <w:ind w:left="0"/>
        <w:jc w:val="both"/>
      </w:pPr>
    </w:p>
    <w:p w:rsidR="00A50C21" w:rsidRDefault="00A50C21" w:rsidP="00A50C21">
      <w:pPr>
        <w:pStyle w:val="a3"/>
        <w:ind w:left="0"/>
        <w:jc w:val="both"/>
      </w:pPr>
      <w:r>
        <w:t>Представляется также весьма важным законодательное повышение ответственности государственных должностных лиц и руководителей корпораций и предприятий за выполнение задач и количественных показателей, установленных государственными программами развития отраслей национальной экономики.</w:t>
      </w:r>
    </w:p>
    <w:p w:rsidR="00A50C21" w:rsidRDefault="00A50C21" w:rsidP="00A50C21">
      <w:pPr>
        <w:pStyle w:val="a3"/>
        <w:ind w:left="0"/>
        <w:jc w:val="both"/>
      </w:pPr>
    </w:p>
    <w:p w:rsidR="00A50C21" w:rsidRPr="00D654DC" w:rsidRDefault="00A50C21" w:rsidP="00A50C21">
      <w:pPr>
        <w:pStyle w:val="a3"/>
        <w:ind w:left="0"/>
        <w:jc w:val="both"/>
      </w:pPr>
      <w:proofErr w:type="gramStart"/>
      <w:r>
        <w:lastRenderedPageBreak/>
        <w:t xml:space="preserve">В заключение целесообразно подчеркнуть, что комплекс предложенных мер по повышению реалистичности принимаемых законодательных актов, </w:t>
      </w:r>
      <w:proofErr w:type="spellStart"/>
      <w:r>
        <w:t>дебюрократизации</w:t>
      </w:r>
      <w:proofErr w:type="spellEnd"/>
      <w:r>
        <w:t xml:space="preserve"> применения законодательства, координации инновационного законодательства субъектов Российской Федерации с корпоративными программами развития субъектов судостроения, а также законодательному повышению ответственности государственных должностных лиц и руководителей корпораций и предприятий способны значительно ускорить развитие национальной судостроительной индустрии, прежде всего, в секторе гражданского судостроения.</w:t>
      </w:r>
      <w:proofErr w:type="gramEnd"/>
    </w:p>
    <w:p w:rsidR="00DC2020" w:rsidRDefault="00DC2020" w:rsidP="00A50C21">
      <w:pPr>
        <w:jc w:val="both"/>
      </w:pPr>
    </w:p>
    <w:p w:rsidR="00074734" w:rsidRDefault="00074734" w:rsidP="00A50C21">
      <w:pPr>
        <w:pStyle w:val="a3"/>
        <w:jc w:val="both"/>
      </w:pPr>
    </w:p>
    <w:p w:rsidR="00074734" w:rsidRPr="00074734" w:rsidRDefault="00074734" w:rsidP="00A50C21">
      <w:pPr>
        <w:pStyle w:val="a3"/>
        <w:jc w:val="both"/>
      </w:pPr>
    </w:p>
    <w:p w:rsidR="00074734" w:rsidRPr="00074734" w:rsidRDefault="00074734" w:rsidP="00A50C21">
      <w:pPr>
        <w:jc w:val="both"/>
      </w:pPr>
      <w:r w:rsidRPr="00074734">
        <w:t xml:space="preserve"> </w:t>
      </w:r>
    </w:p>
    <w:sectPr w:rsidR="00074734" w:rsidRPr="00074734" w:rsidSect="00D0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8B3"/>
    <w:multiLevelType w:val="hybridMultilevel"/>
    <w:tmpl w:val="A490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91901"/>
    <w:multiLevelType w:val="hybridMultilevel"/>
    <w:tmpl w:val="90DC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4378"/>
    <w:multiLevelType w:val="hybridMultilevel"/>
    <w:tmpl w:val="136E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34"/>
    <w:rsid w:val="00074734"/>
    <w:rsid w:val="008F6180"/>
    <w:rsid w:val="00A50C21"/>
    <w:rsid w:val="00D02D8E"/>
    <w:rsid w:val="00D654DC"/>
    <w:rsid w:val="00DC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2014-04-21T09:03:00Z</dcterms:created>
  <dcterms:modified xsi:type="dcterms:W3CDTF">2014-04-21T10:11:00Z</dcterms:modified>
</cp:coreProperties>
</file>